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西藏自治区普通高校</w:t>
      </w:r>
      <w:r>
        <w:rPr>
          <w:rFonts w:hint="eastAsia" w:ascii="方正小标宋简体" w:hAnsi="方正小标宋简体" w:eastAsia="方正小标宋简体" w:cs="方正小标宋简体"/>
          <w:sz w:val="36"/>
          <w:szCs w:val="36"/>
          <w:lang w:val="en-US" w:eastAsia="zh-CN"/>
        </w:rPr>
        <w:t>招生</w:t>
      </w:r>
      <w:r>
        <w:rPr>
          <w:rFonts w:hint="eastAsia" w:ascii="方正小标宋简体" w:hAnsi="方正小标宋简体" w:eastAsia="方正小标宋简体" w:cs="方正小标宋简体"/>
          <w:sz w:val="36"/>
          <w:szCs w:val="36"/>
        </w:rPr>
        <w:t>志愿填报</w:t>
      </w:r>
      <w:r>
        <w:rPr>
          <w:rFonts w:hint="eastAsia" w:ascii="方正小标宋简体" w:hAnsi="方正小标宋简体" w:eastAsia="方正小标宋简体" w:cs="方正小标宋简体"/>
          <w:sz w:val="36"/>
          <w:szCs w:val="36"/>
          <w:lang w:val="en-US" w:eastAsia="zh-CN"/>
        </w:rPr>
        <w:t>辅助</w:t>
      </w:r>
      <w:r>
        <w:rPr>
          <w:rFonts w:hint="eastAsia" w:ascii="方正小标宋简体" w:hAnsi="方正小标宋简体" w:eastAsia="方正小标宋简体" w:cs="方正小标宋简体"/>
          <w:sz w:val="36"/>
          <w:szCs w:val="36"/>
        </w:rPr>
        <w:t>系统</w:t>
      </w:r>
    </w:p>
    <w:p>
      <w:pPr>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操作手册</w:t>
      </w:r>
    </w:p>
    <w:p>
      <w:pPr>
        <w:jc w:val="center"/>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(仅区内考生使用)</w:t>
      </w:r>
    </w:p>
    <w:p>
      <w:pPr>
        <w:rPr>
          <w:rFonts w:hint="eastAsia"/>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一、系统访问地址</w:t>
      </w:r>
    </w:p>
    <w:p>
      <w:pPr>
        <w:widowControl w:val="0"/>
        <w:numPr>
          <w:ilvl w:val="0"/>
          <w:numId w:val="0"/>
        </w:numPr>
        <w:spacing w:line="480" w:lineRule="exact"/>
        <w:ind w:firstLine="640" w:firstLineChars="200"/>
        <w:jc w:val="both"/>
        <w:outlineLvl w:val="9"/>
        <w:rPr>
          <w:rFonts w:hint="eastAsia" w:ascii="黑体" w:hAnsi="黑体" w:eastAsia="黑体" w:cs="黑体"/>
          <w:b w:val="0"/>
          <w:bCs w:val="0"/>
          <w:w w:val="100"/>
          <w:sz w:val="32"/>
          <w:szCs w:val="32"/>
          <w:lang w:val="en-US" w:eastAsia="zh-CN"/>
        </w:rPr>
      </w:pPr>
      <w:r>
        <w:rPr>
          <w:rFonts w:hint="eastAsia" w:ascii="仿宋_GB2312" w:hAnsi="仿宋_GB2312" w:eastAsia="仿宋_GB2312" w:cs="仿宋_GB2312"/>
          <w:b w:val="0"/>
          <w:bCs w:val="0"/>
          <w:i w:val="0"/>
          <w:iCs w:val="0"/>
          <w:caps w:val="0"/>
          <w:color w:val="auto"/>
          <w:spacing w:val="0"/>
          <w:w w:val="100"/>
          <w:sz w:val="32"/>
          <w:szCs w:val="32"/>
          <w:shd w:val="clear" w:color="auto" w:fill="FFFFFF"/>
          <w:lang w:val="en-US" w:eastAsia="zh-CN"/>
        </w:rPr>
        <w:t>建议考生在计算机浏览器和</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Chrome（谷歌）浏览器</w:t>
      </w:r>
      <w:r>
        <w:rPr>
          <w:rFonts w:hint="eastAsia" w:ascii="仿宋_GB2312" w:hAnsi="仿宋_GB2312" w:eastAsia="仿宋_GB2312" w:cs="仿宋_GB2312"/>
          <w:b w:val="0"/>
          <w:bCs w:val="0"/>
          <w:i w:val="0"/>
          <w:iCs w:val="0"/>
          <w:caps w:val="0"/>
          <w:color w:val="auto"/>
          <w:spacing w:val="0"/>
          <w:w w:val="100"/>
          <w:sz w:val="32"/>
          <w:szCs w:val="32"/>
          <w:shd w:val="clear" w:color="auto" w:fill="FFFFFF"/>
          <w:lang w:val="en-US" w:eastAsia="zh-CN"/>
        </w:rPr>
        <w:t>地址栏输入</w:t>
      </w:r>
      <w:r>
        <w:rPr>
          <w:rFonts w:hint="eastAsia" w:ascii="仿宋_GB2312" w:hAnsi="仿宋_GB2312" w:eastAsia="仿宋_GB2312" w:cs="仿宋_GB2312"/>
          <w:b w:val="0"/>
          <w:bCs w:val="0"/>
          <w:color w:val="auto"/>
          <w:w w:val="100"/>
          <w:sz w:val="32"/>
          <w:szCs w:val="32"/>
          <w:lang w:val="en-US" w:eastAsia="zh-CN"/>
        </w:rPr>
        <w:t>网址（</w:t>
      </w:r>
      <w:r>
        <w:rPr>
          <w:rFonts w:hint="eastAsia" w:ascii="Times New Roman" w:hAnsi="Times New Roman" w:eastAsia="仿宋_GB2312" w:cs="Times New Roman"/>
          <w:w w:val="100"/>
          <w:sz w:val="32"/>
          <w:szCs w:val="32"/>
          <w:lang w:val="en-US" w:eastAsia="zh-CN"/>
        </w:rPr>
        <w:t>http://ptgx.zsks.edu.xizang.gov.cn:8086</w:t>
      </w:r>
      <w:r>
        <w:rPr>
          <w:rFonts w:hint="eastAsia" w:ascii="仿宋_GB2312" w:hAnsi="仿宋_GB2312" w:eastAsia="仿宋_GB2312" w:cs="仿宋_GB2312"/>
          <w:b w:val="0"/>
          <w:bCs w:val="0"/>
          <w:color w:val="auto"/>
          <w:w w:val="100"/>
          <w:sz w:val="32"/>
          <w:szCs w:val="32"/>
          <w:lang w:val="en-US" w:eastAsia="zh-CN"/>
        </w:rPr>
        <w:t>）</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回车后进入“</w:t>
      </w:r>
      <w:r>
        <w:rPr>
          <w:rFonts w:hint="eastAsia" w:ascii="仿宋_GB2312" w:hAnsi="仿宋_GB2312" w:eastAsia="仿宋_GB2312" w:cs="仿宋_GB2312"/>
          <w:i w:val="0"/>
          <w:iCs w:val="0"/>
          <w:caps w:val="0"/>
          <w:color w:val="auto"/>
          <w:spacing w:val="0"/>
          <w:w w:val="100"/>
          <w:sz w:val="32"/>
          <w:szCs w:val="32"/>
          <w:shd w:val="clear" w:color="auto" w:fill="FFFFFF"/>
        </w:rPr>
        <w:t>西藏自治区普通</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高校</w:t>
      </w:r>
      <w:r>
        <w:rPr>
          <w:rFonts w:hint="eastAsia" w:ascii="仿宋_GB2312" w:hAnsi="仿宋_GB2312" w:eastAsia="仿宋_GB2312" w:cs="仿宋_GB2312"/>
          <w:i w:val="0"/>
          <w:iCs w:val="0"/>
          <w:caps w:val="0"/>
          <w:color w:val="auto"/>
          <w:spacing w:val="0"/>
          <w:w w:val="100"/>
          <w:sz w:val="32"/>
          <w:szCs w:val="32"/>
          <w:shd w:val="clear" w:color="auto" w:fill="FFFFFF"/>
        </w:rPr>
        <w:t>招生</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志愿填报辅助</w:t>
      </w:r>
      <w:r>
        <w:rPr>
          <w:rFonts w:hint="eastAsia" w:ascii="仿宋_GB2312" w:hAnsi="仿宋_GB2312" w:eastAsia="仿宋_GB2312" w:cs="仿宋_GB2312"/>
          <w:i w:val="0"/>
          <w:iCs w:val="0"/>
          <w:caps w:val="0"/>
          <w:color w:val="auto"/>
          <w:spacing w:val="0"/>
          <w:w w:val="100"/>
          <w:sz w:val="32"/>
          <w:szCs w:val="32"/>
          <w:shd w:val="clear" w:color="auto" w:fill="FFFFFF"/>
        </w:rPr>
        <w:t>系</w:t>
      </w:r>
      <w:r>
        <w:rPr>
          <w:rFonts w:hint="eastAsia" w:ascii="仿宋_GB2312" w:hAnsi="仿宋_GB2312" w:eastAsia="仿宋_GB2312" w:cs="仿宋_GB2312"/>
          <w:i w:val="0"/>
          <w:iCs w:val="0"/>
          <w:caps w:val="0"/>
          <w:color w:val="auto"/>
          <w:spacing w:val="0"/>
          <w:w w:val="100"/>
          <w:sz w:val="32"/>
          <w:szCs w:val="32"/>
          <w:shd w:val="clear" w:color="auto" w:fill="FFFFFF"/>
          <w:lang w:eastAsia="zh-CN"/>
        </w:rPr>
        <w:t>统”</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考生登录界面。</w:t>
      </w: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二、登录</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2.1 系统登录方式。区内考生在考生登录界面输入考生号、证件号码、密码（密码和高考报名系统密码一致）、图形验证码后进行登录。如图-21所示。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3" w:firstLineChars="200"/>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sz w:val="32"/>
          <w:szCs w:val="32"/>
          <w:lang w:val="en-US" w:eastAsia="zh-CN"/>
        </w:rPr>
        <w:t>注意：</w:t>
      </w:r>
      <w:r>
        <w:rPr>
          <w:rFonts w:hint="eastAsia" w:ascii="仿宋_GB2312" w:hAnsi="仿宋_GB2312" w:eastAsia="仿宋_GB2312" w:cs="仿宋_GB2312"/>
          <w:sz w:val="32"/>
          <w:szCs w:val="32"/>
          <w:lang w:val="en-US" w:eastAsia="zh-CN"/>
        </w:rPr>
        <w:t>登录成功后系统30分钟内无任何操作将会登录失效并自动退出系统。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建议考生每次使用操作结束后，及时退出系统，妥善保管自己的登录账户和密码。</w:t>
      </w:r>
      <w:r>
        <w:rPr>
          <w:rFonts w:hint="default" w:ascii="Times New Roman" w:hAnsi="Times New Roman" w:eastAsia="仿宋_GB2312" w:cs="Times New Roman"/>
          <w:color w:val="000000" w:themeColor="text1"/>
          <w:sz w:val="32"/>
          <w:szCs w:val="32"/>
          <w14:textFill>
            <w14:solidFill>
              <w14:schemeClr w14:val="tx1"/>
            </w14:solidFill>
          </w14:textFill>
        </w:rPr>
        <w:t>若因自身保管不慎泄露密码，后果由考生自负。</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510155"/>
            <wp:effectExtent l="0" t="0" r="10160" b="4445"/>
            <wp:docPr id="19" name="图片 19" descr="17194543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9454309310"/>
                    <pic:cNvPicPr>
                      <a:picLocks noChangeAspect="1"/>
                    </pic:cNvPicPr>
                  </pic:nvPicPr>
                  <pic:blipFill>
                    <a:blip r:embed="rId4"/>
                    <a:stretch>
                      <a:fillRect/>
                    </a:stretch>
                  </pic:blipFill>
                  <pic:spPr>
                    <a:xfrm>
                      <a:off x="0" y="0"/>
                      <a:ext cx="5266690" cy="2510155"/>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图-21</w:t>
      </w:r>
    </w:p>
    <w:p>
      <w:pPr>
        <w:numPr>
          <w:ilvl w:val="0"/>
          <w:numId w:val="0"/>
        </w:numPr>
        <w:ind w:firstLine="0" w:firstLineChars="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 修改密码。首次登录系统的考生需要修改密码，修改完成后重新使用考生号、证件号码、新密码登录系统。如图-22所示。</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614295"/>
            <wp:effectExtent l="0" t="0" r="10160" b="14605"/>
            <wp:docPr id="56" name="图片 56" descr="49518b6916494ad6548565aae6d5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9518b6916494ad6548565aae6d5fd0"/>
                    <pic:cNvPicPr>
                      <a:picLocks noChangeAspect="1"/>
                    </pic:cNvPicPr>
                  </pic:nvPicPr>
                  <pic:blipFill>
                    <a:blip r:embed="rId5"/>
                    <a:stretch>
                      <a:fillRect/>
                    </a:stretch>
                  </pic:blipFill>
                  <pic:spPr>
                    <a:xfrm>
                      <a:off x="0" y="0"/>
                      <a:ext cx="5266690" cy="2614295"/>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图-22</w:t>
      </w:r>
    </w:p>
    <w:p>
      <w:pPr>
        <w:widowControl w:val="0"/>
        <w:numPr>
          <w:ilvl w:val="0"/>
          <w:numId w:val="0"/>
        </w:numPr>
        <w:jc w:val="cente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 密码找回方式。如果考生忘记密码可以点击登录页面“忘记密码”，系统会弹出找回密码弹窗，通过在弹窗中填写相关信息进行找回密码；也可以向高考报名时报名点教育招生考试机构提出书面申请重置密码。如图-23所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10160" b="13970"/>
            <wp:docPr id="57" name="图片 57" descr="171945694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19456946831"/>
                    <pic:cNvPicPr>
                      <a:picLocks noChangeAspect="1"/>
                    </pic:cNvPicPr>
                  </pic:nvPicPr>
                  <pic:blipFill>
                    <a:blip r:embed="rId6"/>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图-23</w:t>
      </w:r>
    </w:p>
    <w:p>
      <w:pPr>
        <w:widowControl w:val="0"/>
        <w:numPr>
          <w:ilvl w:val="0"/>
          <w:numId w:val="0"/>
        </w:numPr>
        <w:jc w:val="both"/>
        <w:outlineLvl w:val="9"/>
        <w:rPr>
          <w:rFonts w:hint="default"/>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三、主页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 登录主页。登录成功后进入主页，系统首先会弹窗显示“西藏自治区普通高校招生志愿填报辅助系统使用须知”，请考生仔细阅读，并点击勾选“以上内容我已仔细阅读，确认已知晓”，如图-31所示。再点击“确认”按钮即可使用系统。如图-32所示。</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10160" b="13970"/>
            <wp:docPr id="28" name="图片 28" descr="171945487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9454874746"/>
                    <pic:cNvPicPr>
                      <a:picLocks noChangeAspect="1"/>
                    </pic:cNvPicPr>
                  </pic:nvPicPr>
                  <pic:blipFill>
                    <a:blip r:embed="rId7"/>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图-31</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10160" b="13970"/>
            <wp:docPr id="29" name="图片 29" descr="17194550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9455012365"/>
                    <pic:cNvPicPr>
                      <a:picLocks noChangeAspect="1"/>
                    </pic:cNvPicPr>
                  </pic:nvPicPr>
                  <pic:blipFill>
                    <a:blip r:embed="rId8"/>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图-32</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四、政策介绍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4.1 筛选查询。系统已汇总国家和自治区相关通知公告、招考政策、心理评测、志愿前景、填报指南等信息，考生可以通过筛选查询志愿填报相关信息。</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 查询方式。可点击选中筛选项（范围、类别）或输入标题后，点击“查询”按钮即可进行筛选查询；已选中的筛选项再次点击即可取消选中；点击“重置”按钮可取消上面所有已选筛选项。如图-42所示。（注：系统后续功能列表信息查询方式与此一致。）</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10160" b="13970"/>
            <wp:docPr id="37" name="图片 37" descr="171945527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9455278615"/>
                    <pic:cNvPicPr>
                      <a:picLocks noChangeAspect="1"/>
                    </pic:cNvPicPr>
                  </pic:nvPicPr>
                  <pic:blipFill>
                    <a:blip r:embed="rId9"/>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图-42</w:t>
      </w: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五、院校介绍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5.1 筛选院校。院校介绍链接到教育部阳光高考网站“院校库”，供考生筛选院校信息。如图-51所示。</w:t>
      </w:r>
    </w:p>
    <w:p>
      <w:pPr>
        <w:widowControl w:val="0"/>
        <w:numPr>
          <w:ilvl w:val="0"/>
          <w:numId w:val="0"/>
        </w:numPr>
        <w:jc w:val="center"/>
        <w:rPr>
          <w:rFonts w:hint="default"/>
          <w:lang w:val="en-US" w:eastAsia="zh-CN"/>
        </w:rPr>
      </w:pPr>
      <w:r>
        <w:rPr>
          <w:rFonts w:hint="default"/>
          <w:b w:val="0"/>
          <w:bCs w:val="0"/>
          <w:lang w:val="en-US" w:eastAsia="zh-CN"/>
        </w:rPr>
        <w:drawing>
          <wp:inline distT="0" distB="0" distL="114300" distR="114300">
            <wp:extent cx="5266690" cy="2614295"/>
            <wp:effectExtent l="0" t="0" r="10160" b="14605"/>
            <wp:docPr id="8" name="图片 8" descr="17190778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9077836707"/>
                    <pic:cNvPicPr>
                      <a:picLocks noChangeAspect="1"/>
                    </pic:cNvPicPr>
                  </pic:nvPicPr>
                  <pic:blipFill>
                    <a:blip r:embed="rId10"/>
                    <a:stretch>
                      <a:fillRect/>
                    </a:stretch>
                  </pic:blipFill>
                  <pic:spPr>
                    <a:xfrm>
                      <a:off x="0" y="0"/>
                      <a:ext cx="5266690" cy="2614295"/>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图-51</w:t>
      </w:r>
    </w:p>
    <w:p>
      <w:pPr>
        <w:widowControl w:val="0"/>
        <w:numPr>
          <w:ilvl w:val="0"/>
          <w:numId w:val="0"/>
        </w:numPr>
        <w:jc w:val="both"/>
        <w:rPr>
          <w:rFonts w:hint="eastAsia"/>
          <w:b/>
          <w:bCs/>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六、专业介绍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6.1 筛选专业。院校介绍链接到教育部阳光高考网站“专业知识库”供考生筛选专业信息。如图-61所示。</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614295"/>
            <wp:effectExtent l="0" t="0" r="10160" b="14605"/>
            <wp:docPr id="9" name="图片 9" descr="171907788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9077889119"/>
                    <pic:cNvPicPr>
                      <a:picLocks noChangeAspect="1"/>
                    </pic:cNvPicPr>
                  </pic:nvPicPr>
                  <pic:blipFill>
                    <a:blip r:embed="rId11"/>
                    <a:stretch>
                      <a:fillRect/>
                    </a:stretch>
                  </pic:blipFill>
                  <pic:spPr>
                    <a:xfrm>
                      <a:off x="0" y="0"/>
                      <a:ext cx="5266690" cy="2614295"/>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图-61</w:t>
      </w:r>
    </w:p>
    <w:p>
      <w:pPr>
        <w:widowControl w:val="0"/>
        <w:numPr>
          <w:ilvl w:val="0"/>
          <w:numId w:val="0"/>
        </w:numPr>
        <w:jc w:val="center"/>
        <w:rPr>
          <w:rFonts w:hint="eastAsia"/>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七、招生计划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 计划分类。招生计划分为“2024年招生计划”和“2021-2024年招生计划”。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 查询2024年招生计划。如图-72所示，筛选项由“院校所在地、主管部门类别、办学层次、院校特性、批次、学科门类</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选项和输入项“院校名称、专业名称”组成，筛选项默认全部，支持多选，点击“查询”按钮即可查询相应招生计划数据。查询方式参照（4.2）。</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10160" b="13970"/>
            <wp:docPr id="38" name="图片 38" descr="17194556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9455680720"/>
                    <pic:cNvPicPr>
                      <a:picLocks noChangeAspect="1"/>
                    </pic:cNvPicPr>
                  </pic:nvPicPr>
                  <pic:blipFill>
                    <a:blip r:embed="rId12"/>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图-72</w:t>
      </w:r>
    </w:p>
    <w:p>
      <w:pPr>
        <w:widowControl w:val="0"/>
        <w:numPr>
          <w:ilvl w:val="0"/>
          <w:numId w:val="0"/>
        </w:numPr>
        <w:ind w:firstLine="420" w:firstLineChars="0"/>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 筛选计划。点击“查询”按钮后，系统将展示2024年招生计划筛选结果，如图-73所示，通过列表分页展示招生计划年份、院校、专业、科类、批次、计划、学制、学费、备注信息。列表每页显示10条记录，点击右下角页码（或上一页、下一页）可进行翻页查看招生计划信息。</w:t>
      </w:r>
    </w:p>
    <w:p>
      <w:pPr>
        <w:widowControl w:val="0"/>
        <w:numPr>
          <w:ilvl w:val="-1"/>
          <w:numId w:val="0"/>
        </w:numPr>
        <w:jc w:val="both"/>
        <w:rPr>
          <w:rFonts w:hint="default"/>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0" name="图片 40" descr="171945586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9455863832"/>
                    <pic:cNvPicPr>
                      <a:picLocks noChangeAspect="1"/>
                    </pic:cNvPicPr>
                  </pic:nvPicPr>
                  <pic:blipFill>
                    <a:blip r:embed="rId13"/>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图-73</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7.4 查询2021-2024年招生计划。与“2024年招生计划”模块功能相比，增加了年份筛选项，可以跨年度查询招生计划。如图-74、图-75所示，筛选查询方式参照（4.2），筛选结果展示方式与（7.3）一致。</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4" name="图片 44" descr="171945605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9456050417"/>
                    <pic:cNvPicPr>
                      <a:picLocks noChangeAspect="1"/>
                    </pic:cNvPicPr>
                  </pic:nvPicPr>
                  <pic:blipFill>
                    <a:blip r:embed="rId14"/>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图-74</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5" name="图片 45" descr="17194560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9456082026"/>
                    <pic:cNvPicPr>
                      <a:picLocks noChangeAspect="1"/>
                    </pic:cNvPicPr>
                  </pic:nvPicPr>
                  <pic:blipFill>
                    <a:blip r:embed="rId15"/>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图-75</w:t>
      </w:r>
    </w:p>
    <w:p>
      <w:pPr>
        <w:widowControl w:val="0"/>
        <w:numPr>
          <w:ilvl w:val="0"/>
          <w:numId w:val="0"/>
        </w:numPr>
        <w:jc w:val="both"/>
        <w:rPr>
          <w:rFonts w:hint="default"/>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八、往年录取</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8.1 查询2021-2023年录取情况。如图-81所示，筛选项由“院校所在地、主管部门类别、办学层次、院校特性、批次、学科门类、年份”选项和输入项“院校名称</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组成，筛选项默认全部选择，支持多选，点击“查询”按钮即可查询相应录取信息。查询方式参照（4.2）。</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386330"/>
            <wp:effectExtent l="0" t="0" r="10160" b="13970"/>
            <wp:docPr id="46" name="图片 46" descr="171945642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9456423665"/>
                    <pic:cNvPicPr>
                      <a:picLocks noChangeAspect="1"/>
                    </pic:cNvPicPr>
                  </pic:nvPicPr>
                  <pic:blipFill>
                    <a:blip r:embed="rId16"/>
                    <a:stretch>
                      <a:fillRect/>
                    </a:stretch>
                  </pic:blipFill>
                  <pic:spPr>
                    <a:xfrm>
                      <a:off x="0" y="0"/>
                      <a:ext cx="5266690" cy="238633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图-81</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 筛选2021-2023年录取结果。点击“查询”按钮后，系统将展示2021-2023年院校录取筛选结果，如图-82所示，通过列表分页展示录取年份、批次、院校、院校所在地、科类、生源类别、最低排名、操作（专业录取情况）。列表每页显示10条记录，点击右下角页码（或上一页、下一页）可进行翻页查看往年录取信息。</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7" name="图片 47" descr="171945649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9456491722"/>
                    <pic:cNvPicPr>
                      <a:picLocks noChangeAspect="1"/>
                    </pic:cNvPicPr>
                  </pic:nvPicPr>
                  <pic:blipFill>
                    <a:blip r:embed="rId17"/>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图-82</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 查看2021-2023年院校专业录取筛选结果。如图-83所示，在列表中点击“专业录取情况”按钮即可进入当前院校专业录取信息列表。如图-84所示，筛选项由“年份、批次”选项和输入项“专业名称”组成，筛选项支持多选，点击“查询”按钮即可查询相应录取信息。通过列表分页展示专业录取年份、批次、院校、专业、科类、生源类别、最低排名信息。查询方式参照（4.2）。</w:t>
      </w:r>
    </w:p>
    <w:p>
      <w:pPr>
        <w:widowControl w:val="0"/>
        <w:numPr>
          <w:ilvl w:val="-1"/>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8" name="图片 48" descr="171945652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9456520798"/>
                    <pic:cNvPicPr>
                      <a:picLocks noChangeAspect="1"/>
                    </pic:cNvPicPr>
                  </pic:nvPicPr>
                  <pic:blipFill>
                    <a:blip r:embed="rId18"/>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图-83</w:t>
      </w:r>
    </w:p>
    <w:p>
      <w:pPr>
        <w:widowControl w:val="0"/>
        <w:numPr>
          <w:ilvl w:val="0"/>
          <w:numId w:val="0"/>
        </w:numPr>
        <w:jc w:val="center"/>
        <w:rPr>
          <w:rFonts w:hint="eastAsia"/>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49" name="图片 49" descr="171945656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9456567688"/>
                    <pic:cNvPicPr>
                      <a:picLocks noChangeAspect="1"/>
                    </pic:cNvPicPr>
                  </pic:nvPicPr>
                  <pic:blipFill>
                    <a:blip r:embed="rId19"/>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图-84</w:t>
      </w:r>
    </w:p>
    <w:p>
      <w:pPr>
        <w:widowControl w:val="0"/>
        <w:numPr>
          <w:ilvl w:val="0"/>
          <w:numId w:val="0"/>
        </w:numPr>
        <w:jc w:val="center"/>
        <w:rPr>
          <w:rFonts w:hint="eastAsia"/>
          <w:lang w:val="en-US" w:eastAsia="zh-CN"/>
        </w:rPr>
      </w:pPr>
    </w:p>
    <w:p>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九、志愿备选（参考）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 设置志愿意向。根据考生的志愿意向选择“院校所在地、主管部门类别、办学层次、院校特性、批次、学科门类”选项，支持多选，选择完成后点击“保存”按钮即可保存志愿意向。如图-91所示，选择了&lt;西藏&gt;&lt;本科&gt;&lt;公办高校&gt;，表示当前的志愿意向是想报考西藏的本科院校，且院校特性是公办高校。</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50" name="图片 50" descr="171945660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9456603398"/>
                    <pic:cNvPicPr>
                      <a:picLocks noChangeAspect="1"/>
                    </pic:cNvPicPr>
                  </pic:nvPicPr>
                  <pic:blipFill>
                    <a:blip r:embed="rId20"/>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图-91</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pPr>
        <w:widowControl w:val="0"/>
        <w:numPr>
          <w:ilvl w:val="0"/>
          <w:numId w:val="0"/>
        </w:numPr>
        <w:jc w:val="left"/>
        <w:rPr>
          <w:rFonts w:hint="default"/>
          <w:lang w:val="en-US" w:eastAsia="zh-CN"/>
        </w:rPr>
      </w:pPr>
      <w:r>
        <w:rPr>
          <w:rFonts w:hint="eastAsia" w:ascii="仿宋_GB2312" w:hAnsi="仿宋_GB2312" w:eastAsia="仿宋_GB2312" w:cs="仿宋_GB2312"/>
          <w:sz w:val="32"/>
          <w:szCs w:val="32"/>
          <w:lang w:val="en-US" w:eastAsia="zh-CN"/>
        </w:rPr>
        <w:t xml:space="preserve">    9.2查看志愿备选。根据保存成功的志愿意向，结合当前考生的特征总分、排名、科类、生源类别，以及历年院校专业的录取情况，综合得出志愿备选院校及专业参考信息。如图-92所示。志愿备选展示的信息由“批次名称、院校名称、专业名称”组成。</w:t>
      </w:r>
      <w:r>
        <w:rPr>
          <w:rFonts w:hint="eastAsia" w:ascii="仿宋_GB2312" w:hAnsi="仿宋_GB2312" w:eastAsia="仿宋_GB2312" w:cs="仿宋_GB2312"/>
          <w:b/>
          <w:bCs/>
          <w:color w:val="FF0000"/>
          <w:sz w:val="32"/>
          <w:szCs w:val="32"/>
          <w:lang w:val="en-US" w:eastAsia="zh-CN"/>
        </w:rPr>
        <w:t>注意：系统推荐的志愿备选院校及专业仅供参考，顺序不分先后。考生应在全面了解我区录取批次设置、志愿设置、投档规则、录取规则和有关高校招生章程后，结合本人排名、兴趣、能力倾向以及生涯规划等，认真填报自己的高考志愿，不得由他人代填。</w:t>
      </w:r>
    </w:p>
    <w:p>
      <w:pPr>
        <w:widowControl w:val="0"/>
        <w:numPr>
          <w:ilvl w:val="0"/>
          <w:numId w:val="0"/>
        </w:numPr>
        <w:jc w:val="center"/>
        <w:rPr>
          <w:rFonts w:hint="eastAsia"/>
          <w:lang w:val="en-US" w:eastAsia="zh-CN"/>
        </w:rPr>
      </w:pPr>
    </w:p>
    <w:p>
      <w:pPr>
        <w:widowControl w:val="0"/>
        <w:numPr>
          <w:ilvl w:val="0"/>
          <w:numId w:val="0"/>
        </w:numPr>
        <w:jc w:val="center"/>
        <w:rPr>
          <w:rFonts w:hint="eastAsia"/>
          <w:lang w:val="en-US" w:eastAsia="zh-CN"/>
        </w:rPr>
      </w:pPr>
    </w:p>
    <w:p>
      <w:pPr>
        <w:widowControl w:val="0"/>
        <w:numPr>
          <w:ilvl w:val="0"/>
          <w:numId w:val="0"/>
        </w:numPr>
        <w:jc w:val="center"/>
        <w:rPr>
          <w:rFonts w:hint="default"/>
          <w:lang w:val="en" w:eastAsia="zh-CN"/>
        </w:rPr>
      </w:pPr>
      <w:r>
        <w:rPr>
          <w:rFonts w:hint="default"/>
          <w:lang w:val="en" w:eastAsia="zh-CN"/>
        </w:rPr>
        <w:drawing>
          <wp:inline distT="0" distB="0" distL="114300" distR="114300">
            <wp:extent cx="5273040" cy="2621280"/>
            <wp:effectExtent l="0" t="0" r="3810" b="7620"/>
            <wp:docPr id="51" name="图片 51" descr="171945663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9456639584"/>
                    <pic:cNvPicPr>
                      <a:picLocks noChangeAspect="1"/>
                    </pic:cNvPicPr>
                  </pic:nvPicPr>
                  <pic:blipFill>
                    <a:blip r:embed="rId21"/>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图-92</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ind w:firstLine="640" w:firstLineChars="200"/>
        <w:jc w:val="both"/>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十、志愿模拟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10.1 志愿模拟填报。系统提供志愿模拟填报功能，</w:t>
      </w:r>
      <w:r>
        <w:rPr>
          <w:rFonts w:hint="eastAsia" w:ascii="仿宋_GB2312" w:hAnsi="仿宋_GB2312" w:eastAsia="仿宋_GB2312" w:cs="仿宋_GB2312"/>
          <w:color w:val="FF0000"/>
          <w:sz w:val="32"/>
          <w:szCs w:val="32"/>
          <w:lang w:val="en-US" w:eastAsia="zh-CN"/>
        </w:rPr>
        <w:t>仅供参考和熟悉志愿填报操作。</w:t>
      </w:r>
      <w:r>
        <w:rPr>
          <w:rFonts w:hint="eastAsia" w:ascii="仿宋_GB2312" w:hAnsi="仿宋_GB2312" w:eastAsia="仿宋_GB2312" w:cs="仿宋_GB2312"/>
          <w:sz w:val="32"/>
          <w:szCs w:val="32"/>
          <w:lang w:val="en-US" w:eastAsia="zh-CN"/>
        </w:rPr>
        <w:t>志愿模拟填报的选择顺序依次为：批次、院校、专业、专业服从调剂，如图-101所示。选择完成后点击“保存模拟志愿”并确定即可保存当前批次模拟志愿，如图-102所示。同批次系统只保留最后一次提交确认的模拟志愿。</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52" name="图片 52" descr="171945666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9456662062"/>
                    <pic:cNvPicPr>
                      <a:picLocks noChangeAspect="1"/>
                    </pic:cNvPicPr>
                  </pic:nvPicPr>
                  <pic:blipFill>
                    <a:blip r:embed="rId22"/>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eastAsia"/>
          <w:lang w:val="en-US" w:eastAsia="zh-CN"/>
        </w:rPr>
      </w:pPr>
      <w:r>
        <w:rPr>
          <w:rFonts w:hint="eastAsia"/>
          <w:lang w:val="en-US" w:eastAsia="zh-CN"/>
        </w:rPr>
        <w:t>图-101</w:t>
      </w:r>
    </w:p>
    <w:p>
      <w:pPr>
        <w:widowControl w:val="0"/>
        <w:numPr>
          <w:ilvl w:val="0"/>
          <w:numId w:val="0"/>
        </w:numPr>
        <w:jc w:val="center"/>
        <w:rPr>
          <w:rFonts w:hint="default"/>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53" name="图片 53" descr="171945668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19456686498"/>
                    <pic:cNvPicPr>
                      <a:picLocks noChangeAspect="1"/>
                    </pic:cNvPicPr>
                  </pic:nvPicPr>
                  <pic:blipFill>
                    <a:blip r:embed="rId23"/>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图-102</w:t>
      </w:r>
    </w:p>
    <w:p>
      <w:pPr>
        <w:widowControl w:val="0"/>
        <w:numPr>
          <w:ilvl w:val="0"/>
          <w:numId w:val="0"/>
        </w:numPr>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10.2 查看志愿模拟结果。志愿模拟填报保存确认成功后，点击“志愿模拟结果”，可以查看已保存的志愿模拟填报结果，如图-103所示。点击“下载模拟志愿”即可下载志愿模拟填报结果PDF文件，如图-104所示。</w:t>
      </w:r>
    </w:p>
    <w:p>
      <w:pPr>
        <w:widowControl w:val="0"/>
        <w:numPr>
          <w:ilvl w:val="0"/>
          <w:numId w:val="0"/>
        </w:numPr>
        <w:ind w:firstLine="420" w:firstLineChars="0"/>
        <w:jc w:val="both"/>
        <w:rPr>
          <w:rFonts w:hint="eastAsia"/>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3810" b="7620"/>
            <wp:docPr id="54" name="图片 54" descr="17194567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19456713545"/>
                    <pic:cNvPicPr>
                      <a:picLocks noChangeAspect="1"/>
                    </pic:cNvPicPr>
                  </pic:nvPicPr>
                  <pic:blipFill>
                    <a:blip r:embed="rId24"/>
                    <a:stretch>
                      <a:fillRect/>
                    </a:stretch>
                  </pic:blipFill>
                  <pic:spPr>
                    <a:xfrm>
                      <a:off x="0" y="0"/>
                      <a:ext cx="5273040" cy="262128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图-103</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4361815" cy="3204210"/>
            <wp:effectExtent l="0" t="0" r="635" b="15240"/>
            <wp:docPr id="21" name="图片 21" descr="171911431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9114312672"/>
                    <pic:cNvPicPr>
                      <a:picLocks noChangeAspect="1"/>
                    </pic:cNvPicPr>
                  </pic:nvPicPr>
                  <pic:blipFill>
                    <a:blip r:embed="rId25"/>
                    <a:stretch>
                      <a:fillRect/>
                    </a:stretch>
                  </pic:blipFill>
                  <pic:spPr>
                    <a:xfrm>
                      <a:off x="0" y="0"/>
                      <a:ext cx="4361815" cy="320421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图-104</w:t>
      </w:r>
    </w:p>
    <w:p>
      <w:pPr>
        <w:widowControl w:val="0"/>
        <w:numPr>
          <w:ilvl w:val="0"/>
          <w:numId w:val="0"/>
        </w:numPr>
        <w:ind w:firstLine="640" w:firstLineChars="200"/>
        <w:jc w:val="both"/>
        <w:outlineLvl w:val="9"/>
        <w:rPr>
          <w:rFonts w:hint="default"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default"/>
          <w:b/>
          <w:bCs/>
          <w:lang w:val="en-US" w:eastAsia="zh-CN"/>
        </w:rPr>
      </w:pPr>
      <w:r>
        <w:rPr>
          <w:rFonts w:hint="eastAsia" w:ascii="黑体" w:hAnsi="黑体" w:eastAsia="黑体" w:cs="黑体"/>
          <w:b w:val="0"/>
          <w:bCs w:val="0"/>
          <w:sz w:val="32"/>
          <w:szCs w:val="32"/>
          <w:lang w:val="en-US" w:eastAsia="zh-CN"/>
        </w:rPr>
        <w:t>十一、留言反馈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11.1 点击“留言反馈”-“添加留言反馈”，考生可就志愿填报辅助系统提出意见建议。如图-111所示。</w:t>
      </w:r>
    </w:p>
    <w:p>
      <w:pPr>
        <w:widowControl w:val="0"/>
        <w:numPr>
          <w:ilvl w:val="0"/>
          <w:numId w:val="0"/>
        </w:numPr>
        <w:ind w:firstLine="0" w:firstLineChars="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inline distT="0" distB="0" distL="114300" distR="114300">
            <wp:extent cx="5265420" cy="2567940"/>
            <wp:effectExtent l="0" t="0" r="11430" b="3810"/>
            <wp:docPr id="2" name="图片 2" descr="d643177f369f51d33d5193ed0e8b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43177f369f51d33d5193ed0e8bded"/>
                    <pic:cNvPicPr>
                      <a:picLocks noChangeAspect="1"/>
                    </pic:cNvPicPr>
                  </pic:nvPicPr>
                  <pic:blipFill>
                    <a:blip r:embed="rId26"/>
                    <a:stretch>
                      <a:fillRect/>
                    </a:stretch>
                  </pic:blipFill>
                  <pic:spPr>
                    <a:xfrm>
                      <a:off x="0" y="0"/>
                      <a:ext cx="5265420" cy="256794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图-111</w:t>
      </w:r>
    </w:p>
    <w:p>
      <w:pPr>
        <w:widowControl w:val="0"/>
        <w:numPr>
          <w:ilvl w:val="0"/>
          <w:numId w:val="0"/>
        </w:numPr>
        <w:ind w:firstLine="0" w:firstLineChars="0"/>
        <w:jc w:val="both"/>
        <w:outlineLvl w:val="1"/>
        <w:rPr>
          <w:rFonts w:hint="eastAsia"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default"/>
          <w:b/>
          <w:bCs/>
          <w:lang w:val="en-US" w:eastAsia="zh-CN"/>
        </w:rPr>
      </w:pPr>
      <w:r>
        <w:rPr>
          <w:rFonts w:hint="eastAsia" w:ascii="黑体" w:hAnsi="黑体" w:eastAsia="黑体" w:cs="黑体"/>
          <w:b w:val="0"/>
          <w:bCs w:val="0"/>
          <w:sz w:val="32"/>
          <w:szCs w:val="32"/>
          <w:lang w:val="en-US" w:eastAsia="zh-CN"/>
        </w:rPr>
        <w:t>十二、退出系统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 点击“退出系统”并确定即可退出系统。如图-121所示。每次登录后请确认退出系统。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3093720" cy="1402080"/>
            <wp:effectExtent l="0" t="0" r="11430" b="7620"/>
            <wp:docPr id="24" name="图片 24" descr="171942428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9424284659"/>
                    <pic:cNvPicPr>
                      <a:picLocks noChangeAspect="1"/>
                    </pic:cNvPicPr>
                  </pic:nvPicPr>
                  <pic:blipFill>
                    <a:blip r:embed="rId27"/>
                    <a:stretch>
                      <a:fillRect/>
                    </a:stretch>
                  </pic:blipFill>
                  <pic:spPr>
                    <a:xfrm>
                      <a:off x="0" y="0"/>
                      <a:ext cx="3093720" cy="1402080"/>
                    </a:xfrm>
                    <a:prstGeom prst="rect">
                      <a:avLst/>
                    </a:prstGeom>
                  </pic:spPr>
                </pic:pic>
              </a:graphicData>
            </a:graphic>
          </wp:inline>
        </w:drawing>
      </w:r>
    </w:p>
    <w:p>
      <w:pPr>
        <w:widowControl w:val="0"/>
        <w:numPr>
          <w:ilvl w:val="0"/>
          <w:numId w:val="0"/>
        </w:numPr>
        <w:jc w:val="center"/>
        <w:rPr>
          <w:rFonts w:hint="default" w:ascii="黑体" w:hAnsi="黑体" w:eastAsia="黑体" w:cs="黑体"/>
          <w:b w:val="0"/>
          <w:bCs w:val="0"/>
          <w:sz w:val="32"/>
          <w:szCs w:val="32"/>
          <w:lang w:val="en-US" w:eastAsia="zh-CN"/>
        </w:rPr>
      </w:pPr>
      <w:r>
        <w:rPr>
          <w:rFonts w:hint="eastAsia"/>
          <w:lang w:val="en-US" w:eastAsia="zh-CN"/>
        </w:rPr>
        <w:t>图-121</w:t>
      </w:r>
    </w:p>
    <w:p>
      <w:pPr>
        <w:widowControl w:val="0"/>
        <w:numPr>
          <w:ilvl w:val="0"/>
          <w:numId w:val="0"/>
        </w:numPr>
        <w:ind w:firstLine="0" w:firstLineChars="0"/>
        <w:jc w:val="both"/>
        <w:outlineLvl w:val="9"/>
        <w:rPr>
          <w:rFonts w:hint="eastAsia" w:ascii="黑体" w:hAnsi="黑体" w:eastAsia="黑体" w:cs="黑体"/>
          <w:b w:val="0"/>
          <w:bCs w:val="0"/>
          <w:sz w:val="32"/>
          <w:szCs w:val="32"/>
          <w:lang w:val="en-US" w:eastAsia="zh-CN"/>
        </w:rPr>
      </w:pPr>
    </w:p>
    <w:p>
      <w:pPr>
        <w:widowControl w:val="0"/>
        <w:numPr>
          <w:ilvl w:val="0"/>
          <w:numId w:val="0"/>
        </w:numPr>
        <w:ind w:firstLine="640" w:firstLineChars="200"/>
        <w:jc w:val="both"/>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十三、重要链接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13.1 教育部阳光高考网站链接，点击菜单栏底部“阳光高考”图标即可跳转至教育部阳光高考网站—教育部高校招生阳光工程指定平台。如图-131所示。</w:t>
      </w:r>
    </w:p>
    <w:p>
      <w:pPr>
        <w:widowControl w:val="0"/>
        <w:numPr>
          <w:ilvl w:val="0"/>
          <w:numId w:val="0"/>
        </w:numPr>
        <w:jc w:val="center"/>
        <w:rPr>
          <w:rFonts w:hint="default"/>
          <w:lang w:val="en-US" w:eastAsia="zh-CN"/>
        </w:rPr>
      </w:pPr>
      <w:r>
        <w:rPr>
          <w:rFonts w:hint="default"/>
          <w:lang w:val="en-US" w:eastAsia="zh-CN"/>
        </w:rPr>
        <w:drawing>
          <wp:inline distT="0" distB="0" distL="114300" distR="114300">
            <wp:extent cx="3383280" cy="2225040"/>
            <wp:effectExtent l="0" t="0" r="7620" b="3810"/>
            <wp:docPr id="20" name="图片 20" descr="171942418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9424180507"/>
                    <pic:cNvPicPr>
                      <a:picLocks noChangeAspect="1"/>
                    </pic:cNvPicPr>
                  </pic:nvPicPr>
                  <pic:blipFill>
                    <a:blip r:embed="rId28"/>
                    <a:stretch>
                      <a:fillRect/>
                    </a:stretch>
                  </pic:blipFill>
                  <pic:spPr>
                    <a:xfrm>
                      <a:off x="0" y="0"/>
                      <a:ext cx="3383280" cy="2225040"/>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图-131</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0ZjRmZTFjZDdjODlhYzk1ZjliODM4MTM1NWE3NWYifQ=="/>
  </w:docVars>
  <w:rsids>
    <w:rsidRoot w:val="5B8B0341"/>
    <w:rsid w:val="5B8B0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2024-06-27T06:28:00Z</dcterms:created>
  <dc:creator>九寸信仰'</dc:creator>
  <cp:lastModifiedBy>九寸信仰'</cp:lastModifiedBy>
  <dcterms:modified xsi:type="dcterms:W3CDTF">2024-06-27T06:29:50Z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7E8870FCC3FE474D8FDA8CF4C84CC1A3_11</vt:lpwstr>
  </property>
</Properties>
</file>