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D7" w:rsidRDefault="009D019B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:rsidR="00B51DD7" w:rsidRDefault="009D019B">
      <w:pPr>
        <w:spacing w:afterLines="50" w:after="217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 w:rsidR="00B51DD7" w:rsidTr="00EC37CD">
        <w:trPr>
          <w:trHeight w:hRule="exact" w:val="743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 w:rsidR="00B51DD7" w:rsidRPr="005F38CD" w:rsidRDefault="00794480" w:rsidP="005F38C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D528F">
              <w:rPr>
                <w:rFonts w:ascii="仿宋" w:eastAsia="仿宋" w:hAnsi="仿宋" w:cs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奋斗青春号之《远航》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485220">
              <w:rPr>
                <w:rFonts w:ascii="仿宋" w:eastAsia="仿宋" w:hAnsi="仿宋" w:hint="eastAsia"/>
                <w:sz w:val="28"/>
                <w:szCs w:val="28"/>
              </w:rPr>
              <w:t>专门类：典型报道</w:t>
            </w:r>
          </w:p>
        </w:tc>
      </w:tr>
      <w:tr w:rsidR="00B51DD7" w:rsidTr="00EC37CD">
        <w:trPr>
          <w:trHeight w:hRule="exact" w:val="569"/>
        </w:trPr>
        <w:tc>
          <w:tcPr>
            <w:tcW w:w="1450" w:type="dxa"/>
            <w:vMerge w:val="restart"/>
            <w:vAlign w:val="center"/>
          </w:tcPr>
          <w:p w:rsidR="00B51DD7" w:rsidRPr="00C500E4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C500E4"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B51DD7" w:rsidRPr="00C500E4" w:rsidRDefault="00D52D51" w:rsidP="00D52D51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500E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44</w:t>
            </w:r>
            <w:r w:rsidRPr="00C500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</w:t>
            </w:r>
            <w:r w:rsidRPr="00C500E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41</w:t>
            </w:r>
            <w:r w:rsidRPr="00C500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356" w:type="dxa"/>
            <w:gridSpan w:val="2"/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电视专题</w:t>
            </w:r>
          </w:p>
        </w:tc>
      </w:tr>
      <w:tr w:rsidR="00B51DD7">
        <w:trPr>
          <w:trHeight w:val="538"/>
        </w:trPr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:rsidR="00B51DD7" w:rsidRDefault="00B51DD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DD7" w:rsidRPr="005F38CD" w:rsidRDefault="00B51DD7" w:rsidP="005F38CD">
            <w:pPr>
              <w:spacing w:line="320" w:lineRule="exact"/>
              <w:ind w:firstLine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B51DD7" w:rsidRDefault="009D019B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B51DD7" w:rsidRPr="005F38CD" w:rsidRDefault="005D528F" w:rsidP="005F38CD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中文</w:t>
            </w:r>
          </w:p>
        </w:tc>
      </w:tr>
      <w:tr w:rsidR="00B51DD7">
        <w:trPr>
          <w:trHeight w:val="845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贾舜儒</w:t>
            </w:r>
            <w:proofErr w:type="gramEnd"/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、郭晓芳、伍延君、文亚妮、李娴、王冠、段勇</w:t>
            </w:r>
          </w:p>
        </w:tc>
        <w:tc>
          <w:tcPr>
            <w:tcW w:w="855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000000"/>
                <w:w w:val="95"/>
                <w:sz w:val="28"/>
                <w:szCs w:val="28"/>
              </w:rPr>
            </w:pPr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史红梅、唐源浩、彭博</w:t>
            </w:r>
          </w:p>
        </w:tc>
      </w:tr>
      <w:tr w:rsidR="00B51DD7">
        <w:trPr>
          <w:trHeight w:val="632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:rsidR="00B51DD7" w:rsidRPr="005F38CD" w:rsidRDefault="005F38CD" w:rsidP="00165754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湖南教育电视台</w:t>
            </w:r>
          </w:p>
        </w:tc>
        <w:tc>
          <w:tcPr>
            <w:tcW w:w="1678" w:type="dxa"/>
            <w:gridSpan w:val="2"/>
            <w:vAlign w:val="center"/>
          </w:tcPr>
          <w:p w:rsidR="00B51DD7" w:rsidRDefault="009D019B">
            <w:pPr>
              <w:spacing w:line="260" w:lineRule="exact"/>
              <w:rPr>
                <w:rFonts w:ascii="华文中宋" w:eastAsia="华文中宋" w:hAnsi="华文中宋"/>
                <w:color w:val="000000"/>
                <w:sz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发布端/账号/</w:t>
            </w:r>
          </w:p>
          <w:p w:rsidR="00B51DD7" w:rsidRDefault="009D019B"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 w:rsidR="00B51DD7" w:rsidRPr="005F38CD" w:rsidRDefault="00B51DD7" w:rsidP="005F38C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  <w:highlight w:val="green"/>
              </w:rPr>
            </w:pPr>
          </w:p>
        </w:tc>
      </w:tr>
      <w:tr w:rsidR="00B51DD7">
        <w:trPr>
          <w:trHeight w:hRule="exact" w:val="706"/>
        </w:trPr>
        <w:tc>
          <w:tcPr>
            <w:tcW w:w="1450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奋斗青春号</w:t>
            </w:r>
          </w:p>
        </w:tc>
        <w:tc>
          <w:tcPr>
            <w:tcW w:w="855" w:type="dxa"/>
            <w:vAlign w:val="center"/>
          </w:tcPr>
          <w:p w:rsidR="00B51DD7" w:rsidRDefault="009D019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:rsidR="00B51DD7" w:rsidRPr="005F38CD" w:rsidRDefault="005F38CD" w:rsidP="005F38C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38CD">
              <w:rPr>
                <w:rFonts w:ascii="仿宋" w:eastAsia="仿宋" w:hAnsi="仿宋" w:cs="仿宋_GB2312" w:hint="eastAsia"/>
                <w:snapToGrid w:val="0"/>
                <w:color w:val="000000"/>
                <w:kern w:val="0"/>
                <w:sz w:val="28"/>
                <w:szCs w:val="28"/>
              </w:rPr>
              <w:t>2023年9月11日20点</w:t>
            </w:r>
          </w:p>
        </w:tc>
      </w:tr>
      <w:tr w:rsidR="00B51DD7" w:rsidTr="00EC37CD">
        <w:trPr>
          <w:trHeight w:val="513"/>
        </w:trPr>
        <w:tc>
          <w:tcPr>
            <w:tcW w:w="3114" w:type="dxa"/>
            <w:gridSpan w:val="2"/>
            <w:vAlign w:val="center"/>
          </w:tcPr>
          <w:p w:rsidR="00B51DD7" w:rsidRDefault="009D019B"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 w:rsidR="00B51DD7" w:rsidRDefault="00B51DD7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EC37CD" w:rsidTr="00EC37CD">
        <w:trPr>
          <w:trHeight w:val="692"/>
        </w:trPr>
        <w:tc>
          <w:tcPr>
            <w:tcW w:w="1450" w:type="dxa"/>
            <w:vAlign w:val="center"/>
          </w:tcPr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</w:tcPr>
          <w:p w:rsidR="00F20233" w:rsidRDefault="00EC37CD" w:rsidP="00F20233">
            <w:pPr>
              <w:pStyle w:val="1"/>
              <w:spacing w:beforeAutospacing="0" w:afterAutospacing="0" w:line="280" w:lineRule="exact"/>
              <w:rPr>
                <w:rFonts w:ascii="仿宋_GB2312" w:eastAsia="仿宋_GB2312" w:hAnsi="仿宋_GB2312" w:cs="仿宋_GB2312" w:hint="default"/>
                <w:b w:val="0"/>
                <w:bCs w:val="0"/>
                <w:kern w:val="0"/>
                <w:sz w:val="24"/>
                <w:szCs w:val="24"/>
              </w:rPr>
            </w:pPr>
            <w:r w:rsidRPr="00EC37C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EC37CD">
              <w:rPr>
                <w:rFonts w:ascii="仿宋_GB2312" w:eastAsia="仿宋_GB2312" w:hAnsi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 xml:space="preserve"> </w:t>
            </w:r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为深入贯彻落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实习近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平新时代中国特色社会主义思想和党的二十大精神，中共湖南省委教育工委、湖南省教</w:t>
            </w:r>
            <w:bookmarkStart w:id="0" w:name="_GoBack"/>
            <w:bookmarkEnd w:id="0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育厅面向全省</w:t>
            </w:r>
            <w:r w:rsidR="007A57D9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大学生</w:t>
            </w:r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打造属于自己的“奋斗青春号”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大思政课堂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，充分挖掘湖湘红色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文化思政育人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资源，发挥湖南教育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融媒体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的平台优势。</w:t>
            </w:r>
          </w:p>
          <w:p w:rsidR="00F20233" w:rsidRDefault="00EC37CD" w:rsidP="00F20233">
            <w:pPr>
              <w:pStyle w:val="1"/>
              <w:spacing w:beforeAutospacing="0" w:afterAutospacing="0" w:line="280" w:lineRule="exact"/>
              <w:ind w:firstLineChars="200" w:firstLine="480"/>
              <w:rPr>
                <w:rFonts w:ascii="仿宋_GB2312" w:eastAsia="仿宋_GB2312" w:hAnsi="仿宋_GB2312" w:cs="仿宋_GB2312" w:hint="default"/>
                <w:b w:val="0"/>
                <w:bCs w:val="0"/>
                <w:kern w:val="0"/>
                <w:sz w:val="24"/>
                <w:szCs w:val="24"/>
              </w:rPr>
            </w:pPr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2023年9月11日，“奋斗青春号”湖南省大学生开学第一课《远航》在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橘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洲码头启航。“国家卓越工程师”“时代楷模”、湖南科技大学万步炎教授现场开讲，向大家讲述他三十多年来，带领“海牛”团队刻苦攻关，在中国海洋采矿技术几乎空白的情况下从零开始，探索解决关键核心技术问题，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一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步步迈入深海勘测技术世界前列的故事。2023年“最美大学生”刘广平、刘金平、朱亚</w:t>
            </w:r>
            <w:proofErr w:type="gramStart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伟来到</w:t>
            </w:r>
            <w:proofErr w:type="gramEnd"/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现场与</w:t>
            </w:r>
            <w:r w:rsidR="00F14227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大</w:t>
            </w:r>
            <w:r w:rsidRPr="00EC37CD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学生代表互动。</w:t>
            </w:r>
          </w:p>
          <w:p w:rsidR="00EC37CD" w:rsidRPr="00F20233" w:rsidRDefault="00EC37CD" w:rsidP="007A57D9">
            <w:pPr>
              <w:pStyle w:val="1"/>
              <w:spacing w:beforeAutospacing="0" w:afterAutospacing="0" w:line="280" w:lineRule="exact"/>
              <w:ind w:firstLineChars="200" w:firstLine="480"/>
              <w:rPr>
                <w:rFonts w:ascii="仿宋_GB2312" w:eastAsia="仿宋_GB2312" w:hAnsi="仿宋_GB2312" w:cs="仿宋_GB2312" w:hint="default"/>
                <w:b w:val="0"/>
                <w:bCs w:val="0"/>
                <w:kern w:val="0"/>
                <w:sz w:val="24"/>
                <w:szCs w:val="24"/>
              </w:rPr>
            </w:pPr>
            <w:r w:rsidRPr="00F20233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节目中，由湖南科技大学师生自编自演自导的话剧《蔚蓝深处》呈现在大家眼前。</w:t>
            </w:r>
            <w:r w:rsidR="00F20233" w:rsidRPr="00F20233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该剧</w:t>
            </w:r>
            <w:r w:rsidRPr="00F20233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讲述万步炎教授与其团队在海上遭遇突发事故，48小时内挽救“海牛Ⅱ号”的故事。原创歌曲《追光·远航》充分展现新时代大学生</w:t>
            </w:r>
            <w:r w:rsidR="007A57D9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的时代风貌</w:t>
            </w:r>
            <w:r w:rsidRPr="00F20233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。本节目由全国模范教师、湖南大学马克思主义学院教授龙兵，全国教书育人楷模、“奋斗青春号”总制片人郭晓芳，湖南科技大学马克思主义学院教授唐小芹三位老师担任主讲嘉宾。</w:t>
            </w:r>
          </w:p>
        </w:tc>
      </w:tr>
      <w:tr w:rsidR="00EC37CD" w:rsidTr="005D528F">
        <w:trPr>
          <w:trHeight w:hRule="exact" w:val="1753"/>
        </w:trPr>
        <w:tc>
          <w:tcPr>
            <w:tcW w:w="1450" w:type="dxa"/>
            <w:vAlign w:val="center"/>
          </w:tcPr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:rsidR="00EC37CD" w:rsidRPr="00E7246F" w:rsidRDefault="00EC37CD" w:rsidP="005D528F">
            <w:pPr>
              <w:pStyle w:val="1"/>
              <w:spacing w:beforeAutospacing="0" w:afterAutospacing="0" w:line="280" w:lineRule="exact"/>
              <w:ind w:firstLineChars="200" w:firstLine="480"/>
              <w:rPr>
                <w:rFonts w:ascii="仿宋" w:eastAsia="仿宋" w:hAnsi="仿宋" w:cs="仿宋" w:hint="default"/>
                <w:color w:val="FF0000"/>
                <w:sz w:val="24"/>
                <w:szCs w:val="24"/>
              </w:rPr>
            </w:pPr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“奋斗青春号”湖南省大学生开学第一课《远航》依托湖南教育</w:t>
            </w:r>
            <w:proofErr w:type="gramStart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融媒体</w:t>
            </w:r>
            <w:proofErr w:type="gramEnd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优势，实行“大屏”和“小屏”全端覆盖。此外，还在学习强国首页、人民日报视频客户端等主流媒体播出，其中人民日报视界客户端直播页面观看数达47万，</w:t>
            </w:r>
            <w:proofErr w:type="gramStart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点赞</w:t>
            </w:r>
            <w:proofErr w:type="gramEnd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30.2万。通过央视新闻、光明网、人民网、中国教育发布、微言教育等平台进行重点内容宣传。</w:t>
            </w:r>
          </w:p>
        </w:tc>
      </w:tr>
      <w:tr w:rsidR="00EC37CD" w:rsidTr="005D528F">
        <w:trPr>
          <w:trHeight w:hRule="exact" w:val="1991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EC37CD" w:rsidRDefault="00EC37CD" w:rsidP="00EC37C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vAlign w:val="center"/>
          </w:tcPr>
          <w:p w:rsidR="00EC37CD" w:rsidRDefault="00CF2B52" w:rsidP="005D528F">
            <w:pPr>
              <w:pStyle w:val="1"/>
              <w:spacing w:beforeAutospacing="0" w:afterAutospacing="0" w:line="280" w:lineRule="exact"/>
              <w:ind w:firstLineChars="200" w:firstLine="480"/>
              <w:rPr>
                <w:rFonts w:ascii="华文中宋" w:eastAsia="华文中宋" w:hAnsi="华文中宋"/>
                <w:spacing w:val="-2"/>
                <w:sz w:val="28"/>
              </w:rPr>
            </w:pPr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题材重大，典型性强，内容丰富，生动感人。编排得当，串联有机，节目有创意，有故事。作品昂扬向上、催人奋进，很有教育意义和感染力。是一堂别开生面的</w:t>
            </w:r>
            <w:proofErr w:type="gramStart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思政课</w:t>
            </w:r>
            <w:proofErr w:type="gramEnd"/>
            <w:r w:rsidRPr="00CF2B52">
              <w:rPr>
                <w:rFonts w:ascii="仿宋_GB2312" w:eastAsia="仿宋_GB2312" w:hAnsi="仿宋_GB2312" w:cs="仿宋_GB2312"/>
                <w:b w:val="0"/>
                <w:bCs w:val="0"/>
                <w:kern w:val="0"/>
                <w:sz w:val="24"/>
                <w:szCs w:val="24"/>
              </w:rPr>
              <w:t>，向青年受众提供爱国主义教育，成功塑造了爱岗敬业科学家的形象。</w:t>
            </w:r>
            <w:r w:rsidR="00EC37CD">
              <w:rPr>
                <w:rFonts w:ascii="华文中宋" w:eastAsia="华文中宋" w:hAnsi="华文中宋"/>
                <w:spacing w:val="-2"/>
                <w:sz w:val="28"/>
              </w:rPr>
              <w:t xml:space="preserve">                     </w:t>
            </w:r>
          </w:p>
          <w:p w:rsidR="00EC37CD" w:rsidRDefault="00EC37CD" w:rsidP="00EC37CD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EC37CD" w:rsidRDefault="00EC37CD" w:rsidP="00EC37CD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C5231C" w:rsidRDefault="00C5231C" w:rsidP="00C5231C">
      <w:pPr>
        <w:spacing w:afterLines="50" w:after="217" w:line="600" w:lineRule="exact"/>
        <w:rPr>
          <w:rFonts w:ascii="楷体" w:eastAsia="楷体" w:hAnsi="楷体" w:hint="eastAsia"/>
          <w:color w:val="000000"/>
          <w:sz w:val="28"/>
          <w:szCs w:val="28"/>
        </w:rPr>
      </w:pPr>
    </w:p>
    <w:sectPr w:rsidR="00C5231C" w:rsidSect="00EC37CD">
      <w:headerReference w:type="default" r:id="rId8"/>
      <w:footerReference w:type="default" r:id="rId9"/>
      <w:pgSz w:w="11906" w:h="16838"/>
      <w:pgMar w:top="567" w:right="1247" w:bottom="1440" w:left="1247" w:header="0" w:footer="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FB" w:rsidRDefault="00EB1FFB">
      <w:r>
        <w:separator/>
      </w:r>
    </w:p>
  </w:endnote>
  <w:endnote w:type="continuationSeparator" w:id="0">
    <w:p w:rsidR="00EB1FFB" w:rsidRDefault="00EB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9D019B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B51DD7" w:rsidRDefault="009D019B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A3AE1" w:rsidRPr="006A3AE1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6A3AE1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1DD7" w:rsidRDefault="00B51D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B51DD7" w:rsidRDefault="009D019B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6A3AE1" w:rsidRPr="006A3AE1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6A3AE1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51DD7" w:rsidRDefault="00B51DD7"/>
                </w:txbxContent>
              </v:textbox>
              <w10:wrap anchorx="margin"/>
            </v:shape>
          </w:pict>
        </mc:Fallback>
      </mc:AlternateContent>
    </w:r>
  </w:p>
  <w:p w:rsidR="00B51DD7" w:rsidRDefault="00B51D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FB" w:rsidRDefault="00EB1FFB">
      <w:r>
        <w:separator/>
      </w:r>
    </w:p>
  </w:footnote>
  <w:footnote w:type="continuationSeparator" w:id="0">
    <w:p w:rsidR="00EB1FFB" w:rsidRDefault="00EB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D7" w:rsidRDefault="00B51DD7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65754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A7EE5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46B10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85220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4FB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CA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528F"/>
    <w:rsid w:val="005D640C"/>
    <w:rsid w:val="005E57C2"/>
    <w:rsid w:val="005F0DEE"/>
    <w:rsid w:val="005F2529"/>
    <w:rsid w:val="005F38CD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42C2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A3AE1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94480"/>
    <w:rsid w:val="007A27C7"/>
    <w:rsid w:val="007A57D9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84CA6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35B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0E4"/>
    <w:rsid w:val="00C507A8"/>
    <w:rsid w:val="00C50885"/>
    <w:rsid w:val="00C5231C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2B52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2D51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7246F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1FFB"/>
    <w:rsid w:val="00EB4AB0"/>
    <w:rsid w:val="00EB5A0E"/>
    <w:rsid w:val="00EB76D4"/>
    <w:rsid w:val="00EC37CD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227"/>
    <w:rsid w:val="00F1464C"/>
    <w:rsid w:val="00F14A6A"/>
    <w:rsid w:val="00F15E31"/>
    <w:rsid w:val="00F20233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63C4F"/>
  <w15:docId w15:val="{238DF2F2-0C8D-4D74-A8BF-7211FD0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rsid w:val="00EC37CD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  <w:outlineLvl w:val="0"/>
    </w:pPr>
    <w:rPr>
      <w:rFonts w:ascii="宋体" w:eastAsia="宋体" w:hAnsi="宋体" w:cs="Times New Roman" w:hint="eastAsia"/>
      <w:b/>
      <w:bCs/>
      <w:snapToGrid w:val="0"/>
      <w:color w:val="000000"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标题 1 字符"/>
    <w:basedOn w:val="a0"/>
    <w:link w:val="1"/>
    <w:rsid w:val="00EC37CD"/>
    <w:rPr>
      <w:rFonts w:ascii="宋体" w:hAnsi="宋体"/>
      <w:b/>
      <w:bCs/>
      <w:snapToGrid w:val="0"/>
      <w:color w:val="000000"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91D93-33EE-4E3F-8F2F-B46A9125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547</Words>
  <Characters>558</Characters>
  <Application>Microsoft Office Word</Application>
  <DocSecurity>0</DocSecurity>
  <Lines>50</Lines>
  <Paragraphs>55</Paragraphs>
  <ScaleCrop>false</ScaleCrop>
  <Company>Lenovo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CETV</cp:lastModifiedBy>
  <cp:revision>21</cp:revision>
  <cp:lastPrinted>2024-03-27T03:16:00Z</cp:lastPrinted>
  <dcterms:created xsi:type="dcterms:W3CDTF">2024-04-28T07:42:00Z</dcterms:created>
  <dcterms:modified xsi:type="dcterms:W3CDTF">2024-04-29T05:17:00Z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C2B2EDCF8CFD4838A9E83DCB22406858_12</vt:lpwstr>
  </property>
</Properties>
</file>